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2E8DFC88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CD56F4">
        <w:rPr>
          <w:rFonts w:ascii="Arial" w:hAnsi="Arial" w:cs="Arial"/>
          <w:b/>
          <w:bCs/>
          <w:sz w:val="18"/>
          <w:szCs w:val="18"/>
        </w:rPr>
        <w:t>2</w:t>
      </w:r>
      <w:r w:rsidR="006F1E4D">
        <w:rPr>
          <w:rFonts w:ascii="Arial" w:hAnsi="Arial" w:cs="Arial"/>
          <w:b/>
          <w:bCs/>
          <w:sz w:val="18"/>
          <w:szCs w:val="18"/>
        </w:rPr>
        <w:t>/</w:t>
      </w:r>
      <w:r w:rsidR="00D81B6C">
        <w:rPr>
          <w:rFonts w:ascii="Arial" w:hAnsi="Arial" w:cs="Arial"/>
          <w:b/>
          <w:bCs/>
          <w:sz w:val="18"/>
          <w:szCs w:val="18"/>
        </w:rPr>
        <w:t>01/17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D81B6C">
        <w:rPr>
          <w:rFonts w:ascii="Arial" w:hAnsi="Arial" w:cs="Arial"/>
          <w:b/>
          <w:bCs/>
          <w:sz w:val="18"/>
          <w:szCs w:val="18"/>
        </w:rPr>
        <w:t>05.01.2017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5DA92973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D81B6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13</w:t>
      </w:r>
      <w:r w:rsidR="006F1E4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CD56F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01.2017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D683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FD0AB0" w:rsidRPr="00FD0AB0" w14:paraId="483BF297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E56B" w14:textId="425AB7A0" w:rsidR="00FD0AB0" w:rsidRPr="00FD0AB0" w:rsidRDefault="00FD0AB0" w:rsidP="00CD56F4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ind w:left="714" w:hanging="35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Kabel HDMI – </w:t>
                  </w:r>
                  <w:proofErr w:type="spellStart"/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DisplayPort</w:t>
                  </w:r>
                  <w:proofErr w:type="spellEnd"/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od 1m do 2m 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 </w:t>
                  </w:r>
                  <w:r w:rsidR="00CD5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szt.</w:t>
                  </w:r>
                </w:p>
              </w:tc>
            </w:tr>
            <w:tr w:rsidR="00FD0AB0" w:rsidRPr="00FD0AB0" w14:paraId="44C49119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677F4" w14:textId="4896552F" w:rsidR="00FD0AB0" w:rsidRPr="00FD0AB0" w:rsidRDefault="00FD0AB0" w:rsidP="00FD0AB0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Kabel USB 2.0 (Micro B&lt;-&gt;A) – od 1m do 2m</w:t>
                  </w:r>
                  <w:r w:rsidR="008F63C3"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5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- 97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szt.</w:t>
                  </w:r>
                </w:p>
              </w:tc>
            </w:tr>
            <w:tr w:rsidR="00FD0AB0" w:rsidRPr="00FD0AB0" w14:paraId="355AC730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F5488" w14:textId="528FE37C" w:rsidR="00FD0AB0" w:rsidRPr="00FD0AB0" w:rsidRDefault="00FD0AB0" w:rsidP="00FD0AB0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przedłużacz USB 2.0 – od 30cm do 50 cm</w:t>
                  </w:r>
                  <w:r w:rsidR="008F63C3"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5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- 97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szt.</w:t>
                  </w:r>
                </w:p>
              </w:tc>
            </w:tr>
            <w:tr w:rsidR="00FD0AB0" w:rsidRPr="00FD0AB0" w14:paraId="4D6F10C0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857D9" w14:textId="45113081" w:rsidR="00FD0AB0" w:rsidRPr="00FD0AB0" w:rsidRDefault="00FD0AB0" w:rsidP="00FD0AB0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Dysk SSD 120GB Samsung 840evo </w:t>
                  </w:r>
                  <w:r w:rsidRPr="00FD0AB0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referencyjny </w:t>
                  </w:r>
                  <w:r w:rsidRPr="00FD0AB0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nr katalogowy: MZ-7TE120BW)</w:t>
                  </w:r>
                </w:p>
              </w:tc>
            </w:tr>
            <w:tr w:rsidR="00FD0AB0" w:rsidRPr="00FD0AB0" w14:paraId="6058D71D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26566" w14:textId="37233F98" w:rsidR="00FD0AB0" w:rsidRPr="00FD0AB0" w:rsidRDefault="00FD0AB0" w:rsidP="00FD0AB0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Pamięć RAM 8GB, Kingston 1600MHz DDR3L Non-ECC CL11 SODIMM 1.35V </w:t>
                  </w:r>
                  <w:r w:rsidRPr="00FD0AB0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(oznaczenie katalogowe: KVR16LS11/8)</w:t>
                  </w:r>
                  <w:r w:rsidR="008F63C3"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5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- 97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szt.</w:t>
                  </w:r>
                </w:p>
              </w:tc>
            </w:tr>
            <w:tr w:rsidR="00FD0AB0" w:rsidRPr="00FD0AB0" w14:paraId="26B1C5FA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644D" w14:textId="0110D243" w:rsidR="00FD0AB0" w:rsidRPr="00FD0AB0" w:rsidRDefault="00FD0AB0" w:rsidP="00CD56F4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Hub USB 3.0 ICY BOX IB-AC618</w:t>
                  </w:r>
                  <w:r w:rsidR="008F63C3"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5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- 97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szt.</w:t>
                  </w:r>
                </w:p>
              </w:tc>
            </w:tr>
            <w:tr w:rsidR="00FD0AB0" w:rsidRPr="00FD0AB0" w14:paraId="0A3E9C86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4BFCC" w14:textId="0C155864" w:rsidR="00FD0AB0" w:rsidRPr="00FD0AB0" w:rsidRDefault="00FD0AB0" w:rsidP="00FD0AB0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Kabel SATA, długość 30cm</w:t>
                  </w:r>
                  <w:r w:rsidR="008F63C3" w:rsidRPr="00FD0A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5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- 97</w:t>
                  </w:r>
                  <w:r w:rsidR="008F63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szt.</w:t>
                  </w:r>
                </w:p>
              </w:tc>
            </w:tr>
          </w:tbl>
          <w:p w14:paraId="1F0788FD" w14:textId="77777777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1F103F" w14:textId="1ED723CB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D0AB0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>
              <w:rPr>
                <w:rFonts w:ascii="Arial" w:hAnsi="Arial" w:cs="Arial"/>
                <w:sz w:val="18"/>
                <w:szCs w:val="18"/>
              </w:rPr>
              <w:t>producenta;</w:t>
            </w:r>
            <w:r w:rsidR="00CD56F4"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FD0AB0">
              <w:rPr>
                <w:rFonts w:ascii="Arial" w:hAnsi="Arial" w:cs="Arial"/>
                <w:sz w:val="18"/>
                <w:szCs w:val="18"/>
              </w:rPr>
              <w:t xml:space="preserve"> 2 lata na dysk i pamięć RAM.</w:t>
            </w:r>
          </w:p>
          <w:p w14:paraId="21D81BEC" w14:textId="65BF45E2" w:rsidR="009B14E2" w:rsidRPr="00CC3579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Default="00B50633" w:rsidP="00B50633">
      <w:pPr>
        <w:pStyle w:val="Akapitzlist"/>
        <w:ind w:left="360"/>
        <w:jc w:val="both"/>
      </w:pPr>
    </w:p>
    <w:p w14:paraId="1D4C8C75" w14:textId="03BE4AE5" w:rsidR="00B50633" w:rsidRPr="00811609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81160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87BAA"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811609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CB533A1" w14:textId="77777777" w:rsidR="00B50633" w:rsidRPr="009F23A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E8A7A22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77777777" w:rsidR="00B50633" w:rsidRPr="00842495" w:rsidRDefault="00B50633" w:rsidP="00B50633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953667A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2E2CC0A3" w14:textId="77777777" w:rsidR="00B50633" w:rsidRPr="008E53C9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9F5FA0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9F5FA0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77777777" w:rsidR="00B50633" w:rsidRPr="009F5FA0" w:rsidRDefault="00B50633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49189E2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5078DE4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6D215B23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57BAC0D8" w14:textId="77777777" w:rsidR="00B50633" w:rsidRPr="009F5FA0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284F10A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539356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2EC28038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76BDA90D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>
        <w:rPr>
          <w:color w:val="auto"/>
          <w:sz w:val="18"/>
          <w:szCs w:val="18"/>
        </w:rPr>
        <w:t>80</w:t>
      </w:r>
      <w:r w:rsidRPr="009F5FA0">
        <w:rPr>
          <w:color w:val="auto"/>
          <w:sz w:val="18"/>
          <w:szCs w:val="18"/>
        </w:rPr>
        <w:t xml:space="preserve"> pkt. </w:t>
      </w:r>
    </w:p>
    <w:p w14:paraId="650B4737" w14:textId="77777777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7777777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37235157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22DD238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B50633" w:rsidRPr="009F5FA0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realizacji - 1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DF3AA18" w14:textId="77777777" w:rsidR="00B50633" w:rsidRPr="009F5FA0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B50633" w:rsidRPr="009F5FA0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579012D" w14:textId="77777777" w:rsidR="00B50633" w:rsidRPr="009F5FA0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B50633" w:rsidRPr="009F5FA0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16DCD852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realizacji </w:t>
            </w:r>
            <w:r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77777777" w:rsidR="00B50633" w:rsidRPr="009F5FA0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Pr="009F5FA0">
              <w:rPr>
                <w:color w:val="auto"/>
                <w:sz w:val="18"/>
                <w:szCs w:val="18"/>
              </w:rPr>
              <w:t xml:space="preserve"> punkt</w:t>
            </w:r>
            <w:r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6C502D5E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9F23A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464DD971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9F23A7" w:rsidRDefault="00B50633" w:rsidP="00B50633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7489F53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A04AB4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>
        <w:rPr>
          <w:rFonts w:ascii="Arial" w:hAnsi="Arial" w:cs="Arial"/>
          <w:bCs/>
          <w:sz w:val="18"/>
          <w:szCs w:val="18"/>
        </w:rPr>
        <w:t>wyłącznie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5C77510" w14:textId="77777777" w:rsidR="00B50633" w:rsidRDefault="00B50633" w:rsidP="00B50633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30C5D24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9F23A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2BCAFD" w14:textId="77777777" w:rsidR="00B50633" w:rsidRPr="00842495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1737BC" w14:textId="77777777" w:rsidR="00B50633" w:rsidRPr="00842495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Default="00B50633" w:rsidP="00B50633">
      <w:pPr>
        <w:ind w:left="357"/>
        <w:jc w:val="both"/>
      </w:pPr>
      <w:r>
        <w:rPr>
          <w:rFonts w:ascii="Arial" w:hAnsi="Arial" w:cs="Arial"/>
          <w:sz w:val="18"/>
          <w:szCs w:val="18"/>
        </w:rPr>
        <w:lastRenderedPageBreak/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6FB0D7CB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>
        <w:rPr>
          <w:rFonts w:ascii="Arial" w:hAnsi="Arial" w:cs="Arial"/>
          <w:b/>
          <w:bCs/>
          <w:sz w:val="18"/>
          <w:szCs w:val="18"/>
        </w:rPr>
        <w:t>IDENT/2/01/</w:t>
      </w:r>
      <w:bookmarkStart w:id="0" w:name="_GoBack"/>
      <w:bookmarkEnd w:id="0"/>
      <w:r w:rsidR="00D81B6C">
        <w:rPr>
          <w:rFonts w:ascii="Arial" w:hAnsi="Arial" w:cs="Arial"/>
          <w:b/>
          <w:bCs/>
          <w:sz w:val="18"/>
          <w:szCs w:val="18"/>
        </w:rPr>
        <w:t>17 Z DNIA 05.01.2017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66461"/>
    <w:rsid w:val="000748FA"/>
    <w:rsid w:val="000953D3"/>
    <w:rsid w:val="000C7DBE"/>
    <w:rsid w:val="000D5ADC"/>
    <w:rsid w:val="00166F75"/>
    <w:rsid w:val="00172926"/>
    <w:rsid w:val="0018138B"/>
    <w:rsid w:val="001859B8"/>
    <w:rsid w:val="00192829"/>
    <w:rsid w:val="001B5FC4"/>
    <w:rsid w:val="001C7888"/>
    <w:rsid w:val="001D41C5"/>
    <w:rsid w:val="001F4A5A"/>
    <w:rsid w:val="00202E0F"/>
    <w:rsid w:val="002178C6"/>
    <w:rsid w:val="00222DD3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241B3"/>
    <w:rsid w:val="00631FA2"/>
    <w:rsid w:val="0064121D"/>
    <w:rsid w:val="00656F97"/>
    <w:rsid w:val="00667524"/>
    <w:rsid w:val="006727F5"/>
    <w:rsid w:val="006772A1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64B3E"/>
    <w:rsid w:val="00765EB0"/>
    <w:rsid w:val="00770770"/>
    <w:rsid w:val="007A4B93"/>
    <w:rsid w:val="007E4F13"/>
    <w:rsid w:val="00811609"/>
    <w:rsid w:val="00835BD0"/>
    <w:rsid w:val="00842495"/>
    <w:rsid w:val="008717CD"/>
    <w:rsid w:val="008A5C56"/>
    <w:rsid w:val="008B3797"/>
    <w:rsid w:val="008D7D05"/>
    <w:rsid w:val="008E16FB"/>
    <w:rsid w:val="008E53C9"/>
    <w:rsid w:val="008F63C3"/>
    <w:rsid w:val="00913F2D"/>
    <w:rsid w:val="00930041"/>
    <w:rsid w:val="00933C90"/>
    <w:rsid w:val="00951ABD"/>
    <w:rsid w:val="009536A7"/>
    <w:rsid w:val="00960AE6"/>
    <w:rsid w:val="00987BAA"/>
    <w:rsid w:val="009A57C4"/>
    <w:rsid w:val="009B14E2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B12717"/>
    <w:rsid w:val="00B348CE"/>
    <w:rsid w:val="00B50633"/>
    <w:rsid w:val="00B70AA4"/>
    <w:rsid w:val="00B77581"/>
    <w:rsid w:val="00B828B0"/>
    <w:rsid w:val="00B93D69"/>
    <w:rsid w:val="00B9644C"/>
    <w:rsid w:val="00BC74A2"/>
    <w:rsid w:val="00BC74F5"/>
    <w:rsid w:val="00C12988"/>
    <w:rsid w:val="00C501C3"/>
    <w:rsid w:val="00CA334A"/>
    <w:rsid w:val="00CC3579"/>
    <w:rsid w:val="00CC401F"/>
    <w:rsid w:val="00CD56F4"/>
    <w:rsid w:val="00D81B6C"/>
    <w:rsid w:val="00D97D2E"/>
    <w:rsid w:val="00DD26EA"/>
    <w:rsid w:val="00DF1F71"/>
    <w:rsid w:val="00DF4BED"/>
    <w:rsid w:val="00E13592"/>
    <w:rsid w:val="00E73A98"/>
    <w:rsid w:val="00E85829"/>
    <w:rsid w:val="00E94A8F"/>
    <w:rsid w:val="00EA1363"/>
    <w:rsid w:val="00EA521F"/>
    <w:rsid w:val="00EB37E6"/>
    <w:rsid w:val="00EF1423"/>
    <w:rsid w:val="00F12F49"/>
    <w:rsid w:val="00F14939"/>
    <w:rsid w:val="00F2125C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AB8B4C9-905C-4BEB-86F3-EEB8168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</cp:revision>
  <cp:lastPrinted>2016-12-21T09:54:00Z</cp:lastPrinted>
  <dcterms:created xsi:type="dcterms:W3CDTF">2017-01-05T13:43:00Z</dcterms:created>
  <dcterms:modified xsi:type="dcterms:W3CDTF">2017-01-05T13:43:00Z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