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0A570E6A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D420C0">
        <w:rPr>
          <w:rFonts w:ascii="Arial" w:hAnsi="Arial" w:cs="Arial"/>
          <w:b/>
          <w:bCs/>
          <w:sz w:val="18"/>
          <w:szCs w:val="18"/>
        </w:rPr>
        <w:t>/</w:t>
      </w:r>
      <w:r w:rsidR="00CC3579">
        <w:rPr>
          <w:rFonts w:ascii="Arial" w:hAnsi="Arial" w:cs="Arial"/>
          <w:b/>
          <w:bCs/>
          <w:sz w:val="18"/>
          <w:szCs w:val="18"/>
        </w:rPr>
        <w:t>8</w:t>
      </w:r>
      <w:r w:rsidR="00842495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CC3579">
        <w:rPr>
          <w:rFonts w:ascii="Arial" w:hAnsi="Arial" w:cs="Arial"/>
          <w:b/>
          <w:bCs/>
          <w:sz w:val="18"/>
          <w:szCs w:val="18"/>
        </w:rPr>
        <w:t>7</w:t>
      </w:r>
      <w:r w:rsidR="00E94A8F">
        <w:rPr>
          <w:rFonts w:ascii="Arial" w:hAnsi="Arial" w:cs="Arial"/>
          <w:b/>
          <w:bCs/>
          <w:sz w:val="18"/>
          <w:szCs w:val="18"/>
        </w:rPr>
        <w:t>.1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15394C93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325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5B5A6E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4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256D0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27C2F70" w14:textId="74DC0706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05"/>
              <w:gridCol w:w="2006"/>
              <w:gridCol w:w="845"/>
            </w:tblGrid>
            <w:tr w:rsidR="00CC3579" w14:paraId="3E6F5570" w14:textId="77777777" w:rsidTr="003324DD">
              <w:tc>
                <w:tcPr>
                  <w:tcW w:w="6834" w:type="dxa"/>
                </w:tcPr>
                <w:p w14:paraId="4B511447" w14:textId="4204F88C" w:rsidR="00CC3579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842" w:type="dxa"/>
                </w:tcPr>
                <w:p w14:paraId="0083CC5A" w14:textId="1A802B2C" w:rsidR="00CC3579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</w:rPr>
                  </w:pPr>
                  <w:r w:rsidRPr="003324DD">
                    <w:rPr>
                      <w:sz w:val="20"/>
                    </w:rPr>
                    <w:t>Kod producenta</w:t>
                  </w:r>
                </w:p>
              </w:tc>
              <w:tc>
                <w:tcPr>
                  <w:tcW w:w="851" w:type="dxa"/>
                </w:tcPr>
                <w:p w14:paraId="5B434307" w14:textId="090EDEA6" w:rsidR="00CC3579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</w:rPr>
                  </w:pPr>
                  <w:r w:rsidRPr="003324DD">
                    <w:rPr>
                      <w:sz w:val="20"/>
                    </w:rPr>
                    <w:t>Ilość</w:t>
                  </w:r>
                </w:p>
              </w:tc>
            </w:tr>
            <w:tr w:rsidR="003324DD" w14:paraId="6B566862" w14:textId="77777777" w:rsidTr="003324DD">
              <w:tc>
                <w:tcPr>
                  <w:tcW w:w="6834" w:type="dxa"/>
                </w:tcPr>
                <w:p w14:paraId="1A63D1B5" w14:textId="11E527D8" w:rsidR="003324DD" w:rsidRPr="00CC3579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CC3579">
                    <w:rPr>
                      <w:sz w:val="20"/>
                      <w:szCs w:val="20"/>
                    </w:rPr>
                    <w:t xml:space="preserve">2,4MHz </w:t>
                  </w:r>
                  <w:proofErr w:type="spellStart"/>
                  <w:r w:rsidRPr="00CC3579">
                    <w:rPr>
                      <w:sz w:val="20"/>
                      <w:szCs w:val="20"/>
                    </w:rPr>
                    <w:t>Antenna</w:t>
                  </w:r>
                  <w:proofErr w:type="spellEnd"/>
                  <w:r w:rsidRPr="00CC3579">
                    <w:rPr>
                      <w:sz w:val="20"/>
                      <w:szCs w:val="20"/>
                    </w:rPr>
                    <w:t>, JOHANSON TECHNOLOGY</w:t>
                  </w:r>
                </w:p>
              </w:tc>
              <w:tc>
                <w:tcPr>
                  <w:tcW w:w="1842" w:type="dxa"/>
                </w:tcPr>
                <w:p w14:paraId="0270D60A" w14:textId="6B2DE97F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2450AT42A100E</w:t>
                  </w:r>
                </w:p>
              </w:tc>
              <w:tc>
                <w:tcPr>
                  <w:tcW w:w="851" w:type="dxa"/>
                </w:tcPr>
                <w:p w14:paraId="3DCFE379" w14:textId="4E058BA4" w:rsidR="003324DD" w:rsidRPr="003324DD" w:rsidRDefault="003324DD" w:rsidP="00BF58BC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11</w:t>
                  </w:r>
                  <w:r w:rsidR="00BF58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3324DD" w:rsidRPr="00CC3579" w14:paraId="21570CDC" w14:textId="77777777" w:rsidTr="003324DD">
              <w:tc>
                <w:tcPr>
                  <w:tcW w:w="6834" w:type="dxa"/>
                </w:tcPr>
                <w:p w14:paraId="6CEF56C2" w14:textId="1F3647F6" w:rsidR="003324DD" w:rsidRPr="00CC3579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CC3579">
                    <w:rPr>
                      <w:sz w:val="20"/>
                      <w:szCs w:val="20"/>
                      <w:lang w:val="en-US"/>
                    </w:rPr>
                    <w:t xml:space="preserve">2.45 GHz Impedance Matched </w:t>
                  </w:r>
                  <w:proofErr w:type="spellStart"/>
                  <w:r w:rsidRPr="00CC3579">
                    <w:rPr>
                      <w:sz w:val="20"/>
                      <w:szCs w:val="20"/>
                      <w:lang w:val="en-US"/>
                    </w:rPr>
                    <w:t>Balun</w:t>
                  </w:r>
                  <w:proofErr w:type="spellEnd"/>
                  <w:r w:rsidRPr="00CC3579">
                    <w:rPr>
                      <w:sz w:val="20"/>
                      <w:szCs w:val="20"/>
                      <w:lang w:val="en-US"/>
                    </w:rPr>
                    <w:t xml:space="preserve">-BPF  2.45 GHz Impedance Matched </w:t>
                  </w:r>
                  <w:proofErr w:type="spellStart"/>
                  <w:r w:rsidRPr="00CC3579">
                    <w:rPr>
                      <w:sz w:val="20"/>
                      <w:szCs w:val="20"/>
                      <w:lang w:val="en-US"/>
                    </w:rPr>
                    <w:t>Balun</w:t>
                  </w:r>
                  <w:proofErr w:type="spellEnd"/>
                  <w:r w:rsidRPr="00CC3579">
                    <w:rPr>
                      <w:sz w:val="20"/>
                      <w:szCs w:val="20"/>
                      <w:lang w:val="en-US"/>
                    </w:rPr>
                    <w:t>-BPF: For TI CC253X, CC254X, CC257X, CC853X and CC852X Chipset family</w:t>
                  </w:r>
                </w:p>
              </w:tc>
              <w:tc>
                <w:tcPr>
                  <w:tcW w:w="1842" w:type="dxa"/>
                </w:tcPr>
                <w:p w14:paraId="34E044B1" w14:textId="5B639E94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3324DD">
                    <w:rPr>
                      <w:sz w:val="20"/>
                      <w:szCs w:val="20"/>
                    </w:rPr>
                    <w:t>2450BM15A0002E</w:t>
                  </w:r>
                </w:p>
              </w:tc>
              <w:tc>
                <w:tcPr>
                  <w:tcW w:w="851" w:type="dxa"/>
                </w:tcPr>
                <w:p w14:paraId="1AB809A7" w14:textId="13F3C105" w:rsidR="003324DD" w:rsidRPr="003324DD" w:rsidRDefault="00BF58BC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3324DD" w:rsidRPr="00CC3579" w14:paraId="051C736F" w14:textId="77777777" w:rsidTr="003324DD">
              <w:tc>
                <w:tcPr>
                  <w:tcW w:w="6834" w:type="dxa"/>
                </w:tcPr>
                <w:p w14:paraId="23950873" w14:textId="00736E94" w:rsidR="003324DD" w:rsidRPr="00CC3579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CC3579">
                    <w:rPr>
                      <w:sz w:val="20"/>
                      <w:szCs w:val="20"/>
                      <w:lang w:val="en-US"/>
                    </w:rPr>
                    <w:t>2.4-GHz Bluetooth™ low energy and Proprietary System-on-Chip</w:t>
                  </w:r>
                </w:p>
              </w:tc>
              <w:tc>
                <w:tcPr>
                  <w:tcW w:w="1842" w:type="dxa"/>
                </w:tcPr>
                <w:p w14:paraId="2771E3EB" w14:textId="17C76DE8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3324DD">
                    <w:rPr>
                      <w:sz w:val="20"/>
                      <w:szCs w:val="20"/>
                    </w:rPr>
                    <w:t>CC2541F128RHAT</w:t>
                  </w:r>
                </w:p>
              </w:tc>
              <w:tc>
                <w:tcPr>
                  <w:tcW w:w="851" w:type="dxa"/>
                </w:tcPr>
                <w:p w14:paraId="5741746E" w14:textId="10E31145" w:rsidR="003324DD" w:rsidRPr="003324DD" w:rsidRDefault="00BF58BC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3324DD" w14:paraId="664DB7B2" w14:textId="77777777" w:rsidTr="003324DD">
              <w:tc>
                <w:tcPr>
                  <w:tcW w:w="6834" w:type="dxa"/>
                </w:tcPr>
                <w:p w14:paraId="2F852A23" w14:textId="6765DECF" w:rsidR="003324DD" w:rsidRPr="00CC3579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CC3579">
                    <w:rPr>
                      <w:sz w:val="20"/>
                      <w:szCs w:val="20"/>
                    </w:rPr>
                    <w:t xml:space="preserve">Cewka indukcyjna wysokiej </w:t>
                  </w:r>
                  <w:proofErr w:type="spellStart"/>
                  <w:r w:rsidRPr="00CC3579">
                    <w:rPr>
                      <w:sz w:val="20"/>
                      <w:szCs w:val="20"/>
                    </w:rPr>
                    <w:t>częstotl</w:t>
                  </w:r>
                  <w:proofErr w:type="spellEnd"/>
                  <w:r w:rsidRPr="00CC3579">
                    <w:rPr>
                      <w:sz w:val="20"/>
                      <w:szCs w:val="20"/>
                    </w:rPr>
                    <w:t>. SMD, Seria LQM21PN, 2.2 µH, 0805</w:t>
                  </w:r>
                </w:p>
              </w:tc>
              <w:tc>
                <w:tcPr>
                  <w:tcW w:w="1842" w:type="dxa"/>
                </w:tcPr>
                <w:p w14:paraId="22AE5F20" w14:textId="58D02476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LQM21PN2R2MC0D</w:t>
                  </w:r>
                </w:p>
              </w:tc>
              <w:tc>
                <w:tcPr>
                  <w:tcW w:w="851" w:type="dxa"/>
                </w:tcPr>
                <w:p w14:paraId="1684235F" w14:textId="67CC159D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3324DD" w14:paraId="40250989" w14:textId="77777777" w:rsidTr="003324DD">
              <w:tc>
                <w:tcPr>
                  <w:tcW w:w="6834" w:type="dxa"/>
                </w:tcPr>
                <w:p w14:paraId="4E8D0CBE" w14:textId="4A218A22" w:rsidR="003324DD" w:rsidRPr="00CC3579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CC3579">
                    <w:rPr>
                      <w:sz w:val="20"/>
                      <w:szCs w:val="20"/>
                    </w:rPr>
                    <w:t xml:space="preserve">Prostownik </w:t>
                  </w:r>
                  <w:proofErr w:type="spellStart"/>
                  <w:r w:rsidRPr="00CC3579">
                    <w:rPr>
                      <w:sz w:val="20"/>
                      <w:szCs w:val="20"/>
                    </w:rPr>
                    <w:t>Schottky'ego</w:t>
                  </w:r>
                  <w:proofErr w:type="spellEnd"/>
                  <w:r w:rsidRPr="00CC3579">
                    <w:rPr>
                      <w:sz w:val="20"/>
                      <w:szCs w:val="20"/>
                    </w:rPr>
                    <w:t xml:space="preserve">, Pojedyncze, 30 V, 500 </w:t>
                  </w:r>
                  <w:proofErr w:type="spellStart"/>
                  <w:r w:rsidRPr="00CC3579">
                    <w:rPr>
                      <w:sz w:val="20"/>
                      <w:szCs w:val="20"/>
                    </w:rPr>
                    <w:t>mA</w:t>
                  </w:r>
                  <w:proofErr w:type="spellEnd"/>
                  <w:r w:rsidRPr="00CC3579">
                    <w:rPr>
                      <w:sz w:val="20"/>
                      <w:szCs w:val="20"/>
                    </w:rPr>
                    <w:t xml:space="preserve">, SOD-523, 2 piny/-ów, 500 </w:t>
                  </w:r>
                  <w:proofErr w:type="spellStart"/>
                  <w:r w:rsidRPr="00CC3579">
                    <w:rPr>
                      <w:sz w:val="20"/>
                      <w:szCs w:val="20"/>
                    </w:rPr>
                    <w:t>mV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142EB024" w14:textId="4413B223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PMEG3005EB,115</w:t>
                  </w:r>
                </w:p>
              </w:tc>
              <w:tc>
                <w:tcPr>
                  <w:tcW w:w="851" w:type="dxa"/>
                </w:tcPr>
                <w:p w14:paraId="5E2803C2" w14:textId="1B6627A4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3324DD" w14:paraId="33A76E74" w14:textId="77777777" w:rsidTr="003324DD">
              <w:tc>
                <w:tcPr>
                  <w:tcW w:w="6834" w:type="dxa"/>
                </w:tcPr>
                <w:p w14:paraId="67EBA15D" w14:textId="03BD24FB" w:rsidR="003324DD" w:rsidRPr="00CC3579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CC3579">
                    <w:rPr>
                      <w:sz w:val="20"/>
                      <w:szCs w:val="20"/>
                    </w:rPr>
                    <w:t>Wzmacniacz pomiarowy, 1 wzmacniacz, 30 µV, 0.05 V/µs, 200 kHz, 1.8V do 5.5V, MSOP</w:t>
                  </w:r>
                </w:p>
              </w:tc>
              <w:tc>
                <w:tcPr>
                  <w:tcW w:w="1842" w:type="dxa"/>
                </w:tcPr>
                <w:p w14:paraId="559A4965" w14:textId="42A5B870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AD8237ARMZ</w:t>
                  </w:r>
                </w:p>
              </w:tc>
              <w:tc>
                <w:tcPr>
                  <w:tcW w:w="851" w:type="dxa"/>
                </w:tcPr>
                <w:p w14:paraId="1AFE9504" w14:textId="390B7EDE" w:rsidR="003324DD" w:rsidRPr="003324DD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3324DD">
                    <w:rPr>
                      <w:sz w:val="20"/>
                      <w:szCs w:val="20"/>
                    </w:rPr>
                    <w:t>150</w:t>
                  </w:r>
                </w:p>
              </w:tc>
            </w:tr>
          </w:tbl>
          <w:p w14:paraId="21D81BEC" w14:textId="4C95EF61" w:rsidR="00423986" w:rsidRPr="00CC3579" w:rsidRDefault="00423986" w:rsidP="00CC3579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34DED79A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A111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48D09EA5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692D2A7" w:rsidR="00423986" w:rsidRPr="009F5FA0" w:rsidRDefault="002E1D4B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92B4315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E1D4B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20B30133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>- ilość punktów przyznana ocenianej ofercie w ramach kryterium „Cena</w:t>
      </w:r>
      <w:r w:rsidR="00D420C0">
        <w:rPr>
          <w:color w:val="auto"/>
          <w:sz w:val="18"/>
          <w:szCs w:val="18"/>
        </w:rPr>
        <w:t xml:space="preserve"> 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098D5BC1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Maksymalna ilość punktów jaką może otrzymać oferta za kryterium „Cena</w:t>
      </w:r>
      <w:r w:rsidR="00D420C0">
        <w:rPr>
          <w:color w:val="auto"/>
          <w:sz w:val="18"/>
          <w:szCs w:val="18"/>
        </w:rPr>
        <w:t xml:space="preserve"> brutto</w:t>
      </w:r>
      <w:r w:rsidRPr="009F5FA0">
        <w:rPr>
          <w:color w:val="auto"/>
          <w:sz w:val="18"/>
          <w:szCs w:val="18"/>
        </w:rPr>
        <w:t xml:space="preserve">” wynosi </w:t>
      </w:r>
      <w:r w:rsidR="00933C90">
        <w:rPr>
          <w:color w:val="auto"/>
          <w:sz w:val="18"/>
          <w:szCs w:val="18"/>
        </w:rPr>
        <w:t>5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9E2A81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2E1D4B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96EF85C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 xml:space="preserve">zaoferowany </w:t>
      </w:r>
      <w:r w:rsidR="00583D49" w:rsidRPr="009F5FA0">
        <w:rPr>
          <w:color w:val="auto"/>
          <w:sz w:val="18"/>
          <w:szCs w:val="18"/>
        </w:rPr>
        <w:lastRenderedPageBreak/>
        <w:t>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D420C0">
        <w:rPr>
          <w:color w:val="auto"/>
          <w:sz w:val="18"/>
          <w:szCs w:val="18"/>
        </w:rPr>
        <w:t>20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2867C5E6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D420C0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3F994772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2E31A28C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4A72F1F0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91A16F0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30DAD6F4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1 do 20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59EDA4DC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2E1D4B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301FC21A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cego potwierdzenie wpływu zapytania ofertowego do Oferenta (np. ksero/skan pierwszej strony niniejszego zapytania ofertowego </w:t>
      </w: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6250BB65" w:rsidR="00423986" w:rsidRDefault="00FC70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09CCC0E1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3324DD">
        <w:rPr>
          <w:rFonts w:ascii="Arial" w:hAnsi="Arial" w:cs="Arial"/>
          <w:b/>
          <w:bCs/>
          <w:sz w:val="18"/>
          <w:szCs w:val="18"/>
        </w:rPr>
        <w:t>8</w:t>
      </w:r>
      <w:r w:rsidR="00A05DB8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/16 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3324DD">
        <w:rPr>
          <w:rFonts w:ascii="Arial" w:hAnsi="Arial" w:cs="Arial"/>
          <w:b/>
          <w:bCs/>
          <w:sz w:val="18"/>
          <w:szCs w:val="18"/>
        </w:rPr>
        <w:t>7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3B09BA">
        <w:rPr>
          <w:rFonts w:ascii="Arial" w:hAnsi="Arial" w:cs="Arial"/>
          <w:b/>
          <w:bCs/>
          <w:sz w:val="18"/>
          <w:szCs w:val="18"/>
        </w:rPr>
        <w:t>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4D66261A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D420C0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24DD"/>
    <w:rsid w:val="003377C5"/>
    <w:rsid w:val="00345570"/>
    <w:rsid w:val="00366D9B"/>
    <w:rsid w:val="0038188C"/>
    <w:rsid w:val="003B09BA"/>
    <w:rsid w:val="003B2594"/>
    <w:rsid w:val="003C39CF"/>
    <w:rsid w:val="003C7483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5B5A6E"/>
    <w:rsid w:val="005F2440"/>
    <w:rsid w:val="00631FA2"/>
    <w:rsid w:val="00667524"/>
    <w:rsid w:val="006727F5"/>
    <w:rsid w:val="006772A1"/>
    <w:rsid w:val="0069730D"/>
    <w:rsid w:val="006F5E66"/>
    <w:rsid w:val="0071174D"/>
    <w:rsid w:val="007364B0"/>
    <w:rsid w:val="00764B3E"/>
    <w:rsid w:val="00765EB0"/>
    <w:rsid w:val="007A4B93"/>
    <w:rsid w:val="00835BD0"/>
    <w:rsid w:val="00842495"/>
    <w:rsid w:val="008717CD"/>
    <w:rsid w:val="008A5C56"/>
    <w:rsid w:val="008D7D05"/>
    <w:rsid w:val="008E1EEF"/>
    <w:rsid w:val="008E53C9"/>
    <w:rsid w:val="00913F2D"/>
    <w:rsid w:val="00930041"/>
    <w:rsid w:val="00933C90"/>
    <w:rsid w:val="00960AE6"/>
    <w:rsid w:val="009A57C4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B12717"/>
    <w:rsid w:val="00B70AA4"/>
    <w:rsid w:val="00B77581"/>
    <w:rsid w:val="00B828B0"/>
    <w:rsid w:val="00B93D69"/>
    <w:rsid w:val="00BF58BC"/>
    <w:rsid w:val="00C12988"/>
    <w:rsid w:val="00CA334A"/>
    <w:rsid w:val="00CC3579"/>
    <w:rsid w:val="00D420C0"/>
    <w:rsid w:val="00D97D2E"/>
    <w:rsid w:val="00DD26EA"/>
    <w:rsid w:val="00DF1F71"/>
    <w:rsid w:val="00E13592"/>
    <w:rsid w:val="00E94A8F"/>
    <w:rsid w:val="00EA1363"/>
    <w:rsid w:val="00EA521F"/>
    <w:rsid w:val="00F12F49"/>
    <w:rsid w:val="00F14939"/>
    <w:rsid w:val="00F2125C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2015-11-24T12:41:00Z</cp:lastPrinted>
  <dcterms:created xsi:type="dcterms:W3CDTF">2016-11-17T13:46:00Z</dcterms:created>
  <dcterms:modified xsi:type="dcterms:W3CDTF">2016-11-17T13:46:00Z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